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E0F" w:rsidRDefault="00A52E0F" w:rsidP="00A52E0F">
      <w:pPr>
        <w:pStyle w:val="Header"/>
        <w:jc w:val="both"/>
        <w:rPr>
          <w:rFonts w:ascii="Arial" w:hAnsi="Arial" w:cs="Arial"/>
          <w:b/>
        </w:rPr>
      </w:pPr>
      <w:r w:rsidRPr="001E3644">
        <w:rPr>
          <w:rFonts w:ascii="Arial" w:hAnsi="Arial" w:cs="Arial"/>
          <w:b/>
        </w:rPr>
        <w:t>Lancashire Better Care Fund Annual Performance 2017/18</w:t>
      </w:r>
    </w:p>
    <w:p w:rsidR="00A52E0F" w:rsidRDefault="00A52E0F" w:rsidP="00A52E0F">
      <w:pPr>
        <w:pStyle w:val="Header"/>
        <w:jc w:val="both"/>
        <w:rPr>
          <w:rFonts w:ascii="Arial" w:hAnsi="Arial" w:cs="Arial"/>
          <w:b/>
        </w:rPr>
      </w:pPr>
    </w:p>
    <w:p w:rsidR="00A52E0F" w:rsidRDefault="00A52E0F" w:rsidP="00A52E0F">
      <w:pPr>
        <w:pStyle w:val="Header"/>
        <w:jc w:val="both"/>
        <w:rPr>
          <w:rFonts w:ascii="Arial" w:hAnsi="Arial" w:cs="Arial"/>
          <w:b/>
        </w:rPr>
      </w:pPr>
      <w:r>
        <w:rPr>
          <w:rFonts w:ascii="Arial" w:hAnsi="Arial" w:cs="Arial"/>
          <w:b/>
        </w:rPr>
        <w:t>Metrics for the Lancashire Health and Wellbeing Board</w:t>
      </w:r>
    </w:p>
    <w:p w:rsidR="003313F9" w:rsidRDefault="003313F9" w:rsidP="00A52E0F">
      <w:pPr>
        <w:pStyle w:val="Header"/>
        <w:jc w:val="both"/>
        <w:rPr>
          <w:rFonts w:ascii="Arial" w:hAnsi="Arial" w:cs="Arial"/>
          <w:b/>
        </w:rPr>
      </w:pPr>
    </w:p>
    <w:p w:rsidR="00A52E0F" w:rsidRDefault="00A52E0F" w:rsidP="003313F9">
      <w:pPr>
        <w:pStyle w:val="Header"/>
        <w:numPr>
          <w:ilvl w:val="0"/>
          <w:numId w:val="1"/>
        </w:numPr>
        <w:ind w:left="360"/>
        <w:jc w:val="both"/>
        <w:rPr>
          <w:rFonts w:ascii="Arial" w:hAnsi="Arial" w:cs="Arial"/>
          <w:b/>
        </w:rPr>
      </w:pPr>
      <w:r>
        <w:rPr>
          <w:rFonts w:ascii="Arial" w:hAnsi="Arial" w:cs="Arial"/>
          <w:b/>
        </w:rPr>
        <w:t>Residential and Nursing Home admissions</w:t>
      </w:r>
    </w:p>
    <w:p w:rsidR="003313F9" w:rsidRDefault="003313F9" w:rsidP="003313F9">
      <w:pPr>
        <w:pStyle w:val="Header"/>
        <w:ind w:left="720"/>
        <w:jc w:val="both"/>
        <w:rPr>
          <w:rFonts w:ascii="Arial" w:hAnsi="Arial" w:cs="Arial"/>
          <w:b/>
        </w:rPr>
      </w:pPr>
    </w:p>
    <w:p w:rsidR="00A52E0F" w:rsidRDefault="00A52E0F" w:rsidP="00A52E0F">
      <w:pPr>
        <w:pStyle w:val="Header"/>
        <w:jc w:val="both"/>
        <w:rPr>
          <w:rFonts w:ascii="Arial" w:hAnsi="Arial" w:cs="Arial"/>
        </w:rPr>
      </w:pPr>
      <w:r w:rsidRPr="00ED0758">
        <w:rPr>
          <w:rFonts w:ascii="Arial" w:hAnsi="Arial" w:cs="Arial"/>
        </w:rPr>
        <w:t xml:space="preserve">During 2017/18 there were </w:t>
      </w:r>
      <w:r>
        <w:rPr>
          <w:rFonts w:ascii="Arial" w:hAnsi="Arial" w:cs="Arial"/>
        </w:rPr>
        <w:t xml:space="preserve">a total of </w:t>
      </w:r>
      <w:r w:rsidRPr="000E237F">
        <w:rPr>
          <w:rFonts w:ascii="Arial" w:hAnsi="Arial" w:cs="Arial"/>
        </w:rPr>
        <w:t>1761</w:t>
      </w:r>
      <w:r>
        <w:rPr>
          <w:rFonts w:ascii="Arial" w:hAnsi="Arial" w:cs="Arial"/>
        </w:rPr>
        <w:t xml:space="preserve"> permanent admissions (65yrs+) to residential and nursing homes, </w:t>
      </w:r>
      <w:r w:rsidRPr="000E237F">
        <w:rPr>
          <w:rFonts w:ascii="Arial" w:hAnsi="Arial" w:cs="Arial"/>
        </w:rPr>
        <w:t>728.3</w:t>
      </w:r>
      <w:r>
        <w:rPr>
          <w:rFonts w:ascii="Arial" w:hAnsi="Arial" w:cs="Arial"/>
        </w:rPr>
        <w:t xml:space="preserve"> per 100000 population (65+). </w:t>
      </w:r>
      <w:r w:rsidR="003313F9">
        <w:rPr>
          <w:rFonts w:ascii="Arial" w:hAnsi="Arial" w:cs="Arial"/>
        </w:rPr>
        <w:t xml:space="preserve"> </w:t>
      </w:r>
      <w:r>
        <w:rPr>
          <w:rFonts w:ascii="Arial" w:hAnsi="Arial" w:cs="Arial"/>
        </w:rPr>
        <w:t xml:space="preserve">This is better than the target of 734.2 and the actual of the previous year of </w:t>
      </w:r>
      <w:r w:rsidRPr="000E237F">
        <w:rPr>
          <w:rFonts w:ascii="Arial" w:hAnsi="Arial" w:cs="Arial"/>
        </w:rPr>
        <w:t>742.3</w:t>
      </w:r>
      <w:r>
        <w:rPr>
          <w:rFonts w:ascii="Arial" w:hAnsi="Arial" w:cs="Arial"/>
        </w:rPr>
        <w:t>.</w:t>
      </w:r>
    </w:p>
    <w:p w:rsidR="003313F9" w:rsidRPr="00ED0758" w:rsidRDefault="003313F9" w:rsidP="00A52E0F">
      <w:pPr>
        <w:pStyle w:val="Header"/>
        <w:jc w:val="both"/>
        <w:rPr>
          <w:rFonts w:ascii="Arial" w:hAnsi="Arial" w:cs="Arial"/>
        </w:rPr>
      </w:pPr>
    </w:p>
    <w:p w:rsidR="00A52E0F" w:rsidRDefault="00A52E0F" w:rsidP="003313F9">
      <w:pPr>
        <w:pStyle w:val="Header"/>
        <w:numPr>
          <w:ilvl w:val="0"/>
          <w:numId w:val="1"/>
        </w:numPr>
        <w:ind w:left="360"/>
        <w:jc w:val="both"/>
        <w:rPr>
          <w:rFonts w:ascii="Arial" w:hAnsi="Arial" w:cs="Arial"/>
          <w:b/>
        </w:rPr>
      </w:pPr>
      <w:proofErr w:type="spellStart"/>
      <w:r>
        <w:rPr>
          <w:rFonts w:ascii="Arial" w:hAnsi="Arial" w:cs="Arial"/>
          <w:b/>
        </w:rPr>
        <w:t>Reablement</w:t>
      </w:r>
      <w:proofErr w:type="spellEnd"/>
    </w:p>
    <w:p w:rsidR="003313F9" w:rsidRDefault="003313F9" w:rsidP="003313F9">
      <w:pPr>
        <w:pStyle w:val="Header"/>
        <w:ind w:left="360"/>
        <w:jc w:val="both"/>
        <w:rPr>
          <w:rFonts w:ascii="Arial" w:hAnsi="Arial" w:cs="Arial"/>
          <w:b/>
        </w:rPr>
      </w:pPr>
      <w:r>
        <w:rPr>
          <w:rFonts w:ascii="Arial" w:hAnsi="Arial" w:cs="Arial"/>
          <w:b/>
        </w:rPr>
        <w:t xml:space="preserve"> </w:t>
      </w:r>
    </w:p>
    <w:p w:rsidR="00A52E0F" w:rsidRDefault="00A52E0F" w:rsidP="00A52E0F">
      <w:pPr>
        <w:pStyle w:val="Header"/>
        <w:jc w:val="both"/>
        <w:rPr>
          <w:rFonts w:ascii="Arial" w:hAnsi="Arial" w:cs="Arial"/>
        </w:rPr>
      </w:pPr>
      <w:proofErr w:type="spellStart"/>
      <w:r>
        <w:rPr>
          <w:rFonts w:ascii="Arial" w:hAnsi="Arial" w:cs="Arial"/>
        </w:rPr>
        <w:t>Reablement</w:t>
      </w:r>
      <w:proofErr w:type="spellEnd"/>
      <w:r>
        <w:rPr>
          <w:rFonts w:ascii="Arial" w:hAnsi="Arial" w:cs="Arial"/>
        </w:rPr>
        <w:t xml:space="preserve"> was taken up by a quarterly </w:t>
      </w:r>
      <w:r w:rsidRPr="00CD3AB9">
        <w:rPr>
          <w:rFonts w:ascii="Arial" w:hAnsi="Arial" w:cs="Arial"/>
        </w:rPr>
        <w:t xml:space="preserve">average of </w:t>
      </w:r>
      <w:r>
        <w:rPr>
          <w:rFonts w:ascii="Arial" w:hAnsi="Arial" w:cs="Arial"/>
        </w:rPr>
        <w:t xml:space="preserve">1215 people against a target of 1000. </w:t>
      </w:r>
      <w:r w:rsidR="003313F9">
        <w:rPr>
          <w:rFonts w:ascii="Arial" w:hAnsi="Arial" w:cs="Arial"/>
        </w:rPr>
        <w:t xml:space="preserve"> </w:t>
      </w:r>
      <w:r>
        <w:rPr>
          <w:rFonts w:ascii="Arial" w:hAnsi="Arial" w:cs="Arial"/>
        </w:rPr>
        <w:t>The quarterly average success was 86.75% of those people being at home 91 days after discharge from hospital against a target of 84.00%.</w:t>
      </w:r>
    </w:p>
    <w:p w:rsidR="003313F9" w:rsidRPr="00CD3AB9" w:rsidRDefault="003313F9" w:rsidP="00A52E0F">
      <w:pPr>
        <w:pStyle w:val="Header"/>
        <w:jc w:val="both"/>
        <w:rPr>
          <w:rFonts w:ascii="Arial" w:hAnsi="Arial" w:cs="Arial"/>
        </w:rPr>
      </w:pPr>
    </w:p>
    <w:p w:rsidR="00A52E0F" w:rsidRDefault="00A52E0F" w:rsidP="003313F9">
      <w:pPr>
        <w:pStyle w:val="Header"/>
        <w:numPr>
          <w:ilvl w:val="0"/>
          <w:numId w:val="1"/>
        </w:numPr>
        <w:ind w:left="360"/>
        <w:jc w:val="both"/>
        <w:rPr>
          <w:rFonts w:ascii="Arial" w:hAnsi="Arial" w:cs="Arial"/>
          <w:b/>
        </w:rPr>
      </w:pPr>
      <w:r>
        <w:rPr>
          <w:rFonts w:ascii="Arial" w:hAnsi="Arial" w:cs="Arial"/>
          <w:b/>
        </w:rPr>
        <w:t>Non- elective admissions (NEL)</w:t>
      </w:r>
    </w:p>
    <w:p w:rsidR="003313F9" w:rsidRDefault="003313F9" w:rsidP="003313F9">
      <w:pPr>
        <w:pStyle w:val="Header"/>
        <w:ind w:left="720"/>
        <w:jc w:val="both"/>
        <w:rPr>
          <w:rFonts w:ascii="Arial" w:hAnsi="Arial" w:cs="Arial"/>
          <w:b/>
        </w:rPr>
      </w:pPr>
    </w:p>
    <w:p w:rsidR="00A52E0F" w:rsidRDefault="00A52E0F" w:rsidP="00A52E0F">
      <w:pPr>
        <w:pStyle w:val="Header"/>
        <w:jc w:val="both"/>
        <w:rPr>
          <w:rFonts w:ascii="Arial" w:hAnsi="Arial" w:cs="Arial"/>
        </w:rPr>
      </w:pPr>
      <w:r>
        <w:rPr>
          <w:rFonts w:ascii="Arial" w:hAnsi="Arial" w:cs="Arial"/>
        </w:rPr>
        <w:t>NELs were 1</w:t>
      </w:r>
      <w:r w:rsidRPr="00F10382">
        <w:rPr>
          <w:rFonts w:ascii="Arial" w:hAnsi="Arial" w:cs="Arial"/>
        </w:rPr>
        <w:t>55</w:t>
      </w:r>
      <w:r>
        <w:rPr>
          <w:rFonts w:ascii="Arial" w:hAnsi="Arial" w:cs="Arial"/>
        </w:rPr>
        <w:t>,</w:t>
      </w:r>
      <w:r w:rsidRPr="00F10382">
        <w:rPr>
          <w:rFonts w:ascii="Arial" w:hAnsi="Arial" w:cs="Arial"/>
        </w:rPr>
        <w:t>711</w:t>
      </w:r>
      <w:r>
        <w:rPr>
          <w:rFonts w:ascii="Arial" w:hAnsi="Arial" w:cs="Arial"/>
        </w:rPr>
        <w:t xml:space="preserve"> NELs during 2017/18, 2.4% below the target of 159,601. </w:t>
      </w:r>
      <w:r w:rsidR="003313F9">
        <w:rPr>
          <w:rFonts w:ascii="Arial" w:hAnsi="Arial" w:cs="Arial"/>
        </w:rPr>
        <w:t xml:space="preserve"> </w:t>
      </w:r>
      <w:r>
        <w:rPr>
          <w:rFonts w:ascii="Arial" w:hAnsi="Arial" w:cs="Arial"/>
        </w:rPr>
        <w:t>Q4 NELs were 40,160 2.5% over target.</w:t>
      </w:r>
    </w:p>
    <w:p w:rsidR="003313F9" w:rsidRPr="00F10382" w:rsidRDefault="003313F9" w:rsidP="00A52E0F">
      <w:pPr>
        <w:pStyle w:val="Header"/>
        <w:jc w:val="both"/>
        <w:rPr>
          <w:rFonts w:ascii="Arial" w:hAnsi="Arial" w:cs="Arial"/>
        </w:rPr>
      </w:pPr>
    </w:p>
    <w:p w:rsidR="00A52E0F" w:rsidRDefault="00A52E0F" w:rsidP="003313F9">
      <w:pPr>
        <w:pStyle w:val="Header"/>
        <w:numPr>
          <w:ilvl w:val="0"/>
          <w:numId w:val="1"/>
        </w:numPr>
        <w:ind w:left="360"/>
        <w:jc w:val="both"/>
        <w:rPr>
          <w:rFonts w:ascii="Arial" w:hAnsi="Arial" w:cs="Arial"/>
          <w:b/>
        </w:rPr>
      </w:pPr>
      <w:r>
        <w:rPr>
          <w:rFonts w:ascii="Arial" w:hAnsi="Arial" w:cs="Arial"/>
          <w:b/>
        </w:rPr>
        <w:t>Delayed Transfers of Care (</w:t>
      </w:r>
      <w:proofErr w:type="spellStart"/>
      <w:r>
        <w:rPr>
          <w:rFonts w:ascii="Arial" w:hAnsi="Arial" w:cs="Arial"/>
          <w:b/>
        </w:rPr>
        <w:t>DToC</w:t>
      </w:r>
      <w:proofErr w:type="spellEnd"/>
      <w:r>
        <w:rPr>
          <w:rFonts w:ascii="Arial" w:hAnsi="Arial" w:cs="Arial"/>
          <w:b/>
        </w:rPr>
        <w:t>)</w:t>
      </w:r>
    </w:p>
    <w:p w:rsidR="003313F9" w:rsidRDefault="003313F9" w:rsidP="003313F9">
      <w:pPr>
        <w:pStyle w:val="Header"/>
        <w:ind w:left="720"/>
        <w:jc w:val="both"/>
        <w:rPr>
          <w:rFonts w:ascii="Arial" w:hAnsi="Arial" w:cs="Arial"/>
          <w:b/>
        </w:rPr>
      </w:pPr>
    </w:p>
    <w:p w:rsidR="00A52E0F" w:rsidRDefault="00A52E0F" w:rsidP="00A52E0F">
      <w:pPr>
        <w:pStyle w:val="Header"/>
        <w:jc w:val="both"/>
        <w:rPr>
          <w:rFonts w:ascii="Arial" w:hAnsi="Arial" w:cs="Arial"/>
        </w:rPr>
      </w:pPr>
      <w:r w:rsidRPr="000E237F">
        <w:rPr>
          <w:rFonts w:ascii="Arial" w:hAnsi="Arial" w:cs="Arial"/>
        </w:rPr>
        <w:t>There was</w:t>
      </w:r>
      <w:r>
        <w:rPr>
          <w:rFonts w:ascii="Arial" w:hAnsi="Arial" w:cs="Arial"/>
        </w:rPr>
        <w:t xml:space="preserve"> significant </w:t>
      </w:r>
      <w:r w:rsidRPr="000E237F">
        <w:rPr>
          <w:rFonts w:ascii="Arial" w:hAnsi="Arial" w:cs="Arial"/>
        </w:rPr>
        <w:t xml:space="preserve">national and local focus on </w:t>
      </w:r>
      <w:proofErr w:type="spellStart"/>
      <w:r w:rsidRPr="000E237F">
        <w:rPr>
          <w:rFonts w:ascii="Arial" w:hAnsi="Arial" w:cs="Arial"/>
        </w:rPr>
        <w:t>DToC</w:t>
      </w:r>
      <w:proofErr w:type="spellEnd"/>
      <w:r w:rsidRPr="000E237F">
        <w:rPr>
          <w:rFonts w:ascii="Arial" w:hAnsi="Arial" w:cs="Arial"/>
        </w:rPr>
        <w:t xml:space="preserve"> during 2017/18</w:t>
      </w:r>
      <w:r>
        <w:rPr>
          <w:rFonts w:ascii="Arial" w:hAnsi="Arial" w:cs="Arial"/>
        </w:rPr>
        <w:t xml:space="preserve"> that highlighted the split in NHS and social care attributable delays, saw the imposition of extremely challenging revised targets and the allocation of improved Better Care Fund monies expected, at least in part, to address the </w:t>
      </w:r>
      <w:proofErr w:type="spellStart"/>
      <w:r>
        <w:rPr>
          <w:rFonts w:ascii="Arial" w:hAnsi="Arial" w:cs="Arial"/>
        </w:rPr>
        <w:t>DToC</w:t>
      </w:r>
      <w:proofErr w:type="spellEnd"/>
      <w:r>
        <w:rPr>
          <w:rFonts w:ascii="Arial" w:hAnsi="Arial" w:cs="Arial"/>
        </w:rPr>
        <w:t xml:space="preserve"> challenge. </w:t>
      </w:r>
    </w:p>
    <w:p w:rsidR="003313F9" w:rsidRPr="000E237F" w:rsidRDefault="003313F9" w:rsidP="00A52E0F">
      <w:pPr>
        <w:pStyle w:val="Header"/>
        <w:jc w:val="both"/>
        <w:rPr>
          <w:rFonts w:ascii="Arial" w:hAnsi="Arial" w:cs="Arial"/>
        </w:rPr>
      </w:pPr>
    </w:p>
    <w:p w:rsidR="00A52E0F" w:rsidRDefault="00A52E0F" w:rsidP="00A52E0F">
      <w:pPr>
        <w:pStyle w:val="Header"/>
        <w:jc w:val="both"/>
        <w:rPr>
          <w:rFonts w:ascii="Arial" w:hAnsi="Arial" w:cs="Arial"/>
        </w:rPr>
      </w:pPr>
      <w:r>
        <w:rPr>
          <w:rFonts w:ascii="Arial" w:hAnsi="Arial" w:cs="Arial"/>
        </w:rPr>
        <w:t xml:space="preserve">During the full year there were 51,599 delayed days against the full year target of 41,624. </w:t>
      </w:r>
      <w:r w:rsidR="003313F9">
        <w:rPr>
          <w:rFonts w:ascii="Arial" w:hAnsi="Arial" w:cs="Arial"/>
        </w:rPr>
        <w:t xml:space="preserve"> </w:t>
      </w:r>
      <w:r>
        <w:rPr>
          <w:rFonts w:ascii="Arial" w:hAnsi="Arial" w:cs="Arial"/>
        </w:rPr>
        <w:t>This represents a variance of 24%.</w:t>
      </w:r>
      <w:r w:rsidR="003313F9">
        <w:rPr>
          <w:rFonts w:ascii="Arial" w:hAnsi="Arial" w:cs="Arial"/>
        </w:rPr>
        <w:t xml:space="preserve"> </w:t>
      </w:r>
      <w:r>
        <w:rPr>
          <w:rFonts w:ascii="Arial" w:hAnsi="Arial" w:cs="Arial"/>
        </w:rPr>
        <w:t xml:space="preserve"> As previously reported performance has improved in quarters 3 and 4 but due to the revised targets Q4 variance from target was 60%.</w:t>
      </w:r>
    </w:p>
    <w:p w:rsidR="003313F9" w:rsidRDefault="003313F9" w:rsidP="00A52E0F">
      <w:pPr>
        <w:pStyle w:val="Header"/>
        <w:jc w:val="both"/>
        <w:rPr>
          <w:rFonts w:ascii="Arial" w:hAnsi="Arial" w:cs="Arial"/>
        </w:rPr>
      </w:pPr>
    </w:p>
    <w:p w:rsidR="00A52E0F" w:rsidRDefault="00A52E0F" w:rsidP="00A52E0F">
      <w:pPr>
        <w:pStyle w:val="Header"/>
        <w:jc w:val="both"/>
        <w:rPr>
          <w:rFonts w:ascii="Arial" w:hAnsi="Arial" w:cs="Arial"/>
        </w:rPr>
      </w:pPr>
      <w:r>
        <w:rPr>
          <w:rFonts w:ascii="Arial" w:hAnsi="Arial" w:cs="Arial"/>
        </w:rPr>
        <w:t xml:space="preserve">The latest data shows that in April 2018 there were </w:t>
      </w:r>
      <w:r w:rsidRPr="00216A1B">
        <w:rPr>
          <w:rFonts w:ascii="Arial" w:hAnsi="Arial" w:cs="Arial"/>
        </w:rPr>
        <w:t>3423</w:t>
      </w:r>
      <w:r>
        <w:rPr>
          <w:rFonts w:ascii="Arial" w:hAnsi="Arial" w:cs="Arial"/>
        </w:rPr>
        <w:t xml:space="preserve"> delayed days a continuing improvement.</w:t>
      </w:r>
      <w:r w:rsidR="003313F9">
        <w:rPr>
          <w:rFonts w:ascii="Arial" w:hAnsi="Arial" w:cs="Arial"/>
        </w:rPr>
        <w:t xml:space="preserve"> </w:t>
      </w:r>
      <w:r>
        <w:rPr>
          <w:rFonts w:ascii="Arial" w:hAnsi="Arial" w:cs="Arial"/>
        </w:rPr>
        <w:t xml:space="preserve"> When set against the March target of 2275 delayed days that shows a variance of 50%.</w:t>
      </w:r>
    </w:p>
    <w:p w:rsidR="003313F9" w:rsidRDefault="003313F9" w:rsidP="00A52E0F">
      <w:pPr>
        <w:pStyle w:val="Header"/>
        <w:jc w:val="both"/>
        <w:rPr>
          <w:rFonts w:ascii="Arial" w:hAnsi="Arial" w:cs="Arial"/>
        </w:rPr>
      </w:pPr>
    </w:p>
    <w:p w:rsidR="00A52E0F" w:rsidRPr="00EC61A9" w:rsidRDefault="00A52E0F" w:rsidP="00A52E0F">
      <w:pPr>
        <w:pStyle w:val="Header"/>
        <w:jc w:val="both"/>
        <w:rPr>
          <w:rFonts w:ascii="Arial" w:hAnsi="Arial" w:cs="Arial"/>
        </w:rPr>
      </w:pPr>
      <w:r>
        <w:rPr>
          <w:rFonts w:ascii="Arial" w:hAnsi="Arial" w:cs="Arial"/>
        </w:rPr>
        <w:t xml:space="preserve">For the year there were </w:t>
      </w:r>
      <w:r w:rsidRPr="00332137">
        <w:rPr>
          <w:rFonts w:ascii="Arial" w:hAnsi="Arial" w:cs="Arial"/>
        </w:rPr>
        <w:t>23,987</w:t>
      </w:r>
      <w:r>
        <w:rPr>
          <w:rFonts w:ascii="Arial" w:hAnsi="Arial" w:cs="Arial"/>
        </w:rPr>
        <w:t xml:space="preserve"> NHS and </w:t>
      </w:r>
      <w:r w:rsidRPr="00332137">
        <w:rPr>
          <w:rFonts w:ascii="Arial" w:hAnsi="Arial" w:cs="Arial"/>
        </w:rPr>
        <w:t>24,156</w:t>
      </w:r>
      <w:r>
        <w:rPr>
          <w:rFonts w:ascii="Arial" w:hAnsi="Arial" w:cs="Arial"/>
        </w:rPr>
        <w:t xml:space="preserve"> Social Care attributable delayed days. </w:t>
      </w:r>
      <w:r w:rsidR="003313F9">
        <w:rPr>
          <w:rFonts w:ascii="Arial" w:hAnsi="Arial" w:cs="Arial"/>
        </w:rPr>
        <w:t xml:space="preserve"> </w:t>
      </w:r>
      <w:r>
        <w:rPr>
          <w:rFonts w:ascii="Arial" w:hAnsi="Arial" w:cs="Arial"/>
        </w:rPr>
        <w:t xml:space="preserve">The balance changed within the year with social care attributable delays reducing. </w:t>
      </w:r>
      <w:r w:rsidR="003313F9">
        <w:rPr>
          <w:rFonts w:ascii="Arial" w:hAnsi="Arial" w:cs="Arial"/>
        </w:rPr>
        <w:t xml:space="preserve"> </w:t>
      </w:r>
      <w:r>
        <w:rPr>
          <w:rFonts w:ascii="Arial" w:hAnsi="Arial" w:cs="Arial"/>
        </w:rPr>
        <w:t xml:space="preserve">In Q4 there were </w:t>
      </w:r>
      <w:r w:rsidRPr="00332137">
        <w:rPr>
          <w:rFonts w:ascii="Arial" w:hAnsi="Arial" w:cs="Arial"/>
        </w:rPr>
        <w:t>5,820 NHS and 4,082 Social Care attributable delayed days</w:t>
      </w:r>
      <w:r w:rsidR="003313F9">
        <w:rPr>
          <w:rFonts w:ascii="Arial" w:hAnsi="Arial" w:cs="Arial"/>
        </w:rPr>
        <w:t>.</w:t>
      </w:r>
    </w:p>
    <w:p w:rsidR="00A52E0F" w:rsidRDefault="00A52E0F" w:rsidP="00A52E0F">
      <w:pPr>
        <w:pStyle w:val="Header"/>
        <w:jc w:val="both"/>
        <w:rPr>
          <w:rFonts w:ascii="Arial" w:hAnsi="Arial" w:cs="Arial"/>
          <w:b/>
        </w:rPr>
      </w:pPr>
    </w:p>
    <w:p w:rsidR="00A52E0F" w:rsidRDefault="00A52E0F" w:rsidP="00A52E0F">
      <w:pPr>
        <w:pStyle w:val="Header"/>
        <w:jc w:val="both"/>
        <w:rPr>
          <w:rFonts w:ascii="Arial" w:hAnsi="Arial" w:cs="Arial"/>
          <w:b/>
        </w:rPr>
      </w:pPr>
      <w:r>
        <w:rPr>
          <w:rFonts w:ascii="Arial" w:hAnsi="Arial" w:cs="Arial"/>
          <w:b/>
        </w:rPr>
        <w:t>BCF progress</w:t>
      </w:r>
    </w:p>
    <w:p w:rsidR="003313F9" w:rsidRDefault="003313F9" w:rsidP="00A52E0F">
      <w:pPr>
        <w:pStyle w:val="Header"/>
        <w:jc w:val="both"/>
        <w:rPr>
          <w:rFonts w:ascii="Arial" w:hAnsi="Arial" w:cs="Arial"/>
          <w:b/>
        </w:rPr>
      </w:pPr>
    </w:p>
    <w:p w:rsidR="00A52E0F" w:rsidRDefault="00A52E0F" w:rsidP="00A52E0F">
      <w:pPr>
        <w:pStyle w:val="Header"/>
        <w:jc w:val="both"/>
        <w:rPr>
          <w:rFonts w:ascii="Arial" w:hAnsi="Arial" w:cs="Arial"/>
        </w:rPr>
      </w:pPr>
      <w:r>
        <w:rPr>
          <w:rFonts w:ascii="Arial" w:hAnsi="Arial" w:cs="Arial"/>
        </w:rPr>
        <w:t>The year</w:t>
      </w:r>
      <w:r w:rsidRPr="00A0296F">
        <w:rPr>
          <w:rFonts w:ascii="Arial" w:hAnsi="Arial" w:cs="Arial"/>
        </w:rPr>
        <w:t xml:space="preserve"> has seen </w:t>
      </w:r>
      <w:r>
        <w:rPr>
          <w:rFonts w:ascii="Arial" w:hAnsi="Arial" w:cs="Arial"/>
        </w:rPr>
        <w:t>many positives for the BCF.</w:t>
      </w:r>
      <w:r w:rsidR="003313F9">
        <w:rPr>
          <w:rFonts w:ascii="Arial" w:hAnsi="Arial" w:cs="Arial"/>
        </w:rPr>
        <w:t xml:space="preserve"> </w:t>
      </w:r>
      <w:r>
        <w:rPr>
          <w:rFonts w:ascii="Arial" w:hAnsi="Arial" w:cs="Arial"/>
        </w:rPr>
        <w:t xml:space="preserve"> </w:t>
      </w:r>
      <w:r w:rsidRPr="00A0296F">
        <w:rPr>
          <w:rFonts w:ascii="Arial" w:hAnsi="Arial" w:cs="Arial"/>
        </w:rPr>
        <w:t xml:space="preserve">The shared ownership of </w:t>
      </w:r>
      <w:proofErr w:type="spellStart"/>
      <w:r w:rsidRPr="00A0296F">
        <w:rPr>
          <w:rFonts w:ascii="Arial" w:hAnsi="Arial" w:cs="Arial"/>
        </w:rPr>
        <w:t>DToC</w:t>
      </w:r>
      <w:proofErr w:type="spellEnd"/>
      <w:r w:rsidRPr="00A0296F">
        <w:rPr>
          <w:rFonts w:ascii="Arial" w:hAnsi="Arial" w:cs="Arial"/>
        </w:rPr>
        <w:t xml:space="preserve"> by the whole of the system has seen a high level of scrutiny at local and county level</w:t>
      </w:r>
      <w:r>
        <w:rPr>
          <w:rFonts w:ascii="Arial" w:hAnsi="Arial" w:cs="Arial"/>
        </w:rPr>
        <w:t xml:space="preserve"> including a system leader check and challenge session in January 2018</w:t>
      </w:r>
      <w:r w:rsidRPr="00A0296F">
        <w:rPr>
          <w:rFonts w:ascii="Arial" w:hAnsi="Arial" w:cs="Arial"/>
        </w:rPr>
        <w:t>.</w:t>
      </w:r>
      <w:r w:rsidR="003313F9">
        <w:rPr>
          <w:rFonts w:ascii="Arial" w:hAnsi="Arial" w:cs="Arial"/>
        </w:rPr>
        <w:t xml:space="preserve"> </w:t>
      </w:r>
      <w:r w:rsidRPr="00A0296F">
        <w:rPr>
          <w:rFonts w:ascii="Arial" w:hAnsi="Arial" w:cs="Arial"/>
        </w:rPr>
        <w:t xml:space="preserve"> This has had a positive effect in helping direct resources to best have an impact and seen all partners be clear on their responsibilities.</w:t>
      </w:r>
      <w:r>
        <w:rPr>
          <w:rFonts w:ascii="Arial" w:hAnsi="Arial" w:cs="Arial"/>
        </w:rPr>
        <w:t xml:space="preserve"> </w:t>
      </w:r>
      <w:r w:rsidR="003313F9">
        <w:rPr>
          <w:rFonts w:ascii="Arial" w:hAnsi="Arial" w:cs="Arial"/>
        </w:rPr>
        <w:t xml:space="preserve"> </w:t>
      </w:r>
      <w:r w:rsidRPr="00A0296F">
        <w:rPr>
          <w:rFonts w:ascii="Arial" w:hAnsi="Arial" w:cs="Arial"/>
        </w:rPr>
        <w:t xml:space="preserve">As a result, there has been significant progress towards meeting </w:t>
      </w:r>
      <w:proofErr w:type="spellStart"/>
      <w:r w:rsidRPr="00A0296F">
        <w:rPr>
          <w:rFonts w:ascii="Arial" w:hAnsi="Arial" w:cs="Arial"/>
        </w:rPr>
        <w:t>DToC</w:t>
      </w:r>
      <w:proofErr w:type="spellEnd"/>
      <w:r w:rsidRPr="00A0296F">
        <w:rPr>
          <w:rFonts w:ascii="Arial" w:hAnsi="Arial" w:cs="Arial"/>
        </w:rPr>
        <w:t xml:space="preserve"> targets.</w:t>
      </w:r>
      <w:r w:rsidR="003313F9">
        <w:rPr>
          <w:rFonts w:ascii="Arial" w:hAnsi="Arial" w:cs="Arial"/>
        </w:rPr>
        <w:t xml:space="preserve"> </w:t>
      </w:r>
    </w:p>
    <w:p w:rsidR="003313F9" w:rsidRDefault="003313F9" w:rsidP="00A52E0F">
      <w:pPr>
        <w:pStyle w:val="Header"/>
        <w:jc w:val="both"/>
        <w:rPr>
          <w:rFonts w:ascii="Arial" w:hAnsi="Arial" w:cs="Arial"/>
        </w:rPr>
      </w:pPr>
    </w:p>
    <w:p w:rsidR="003313F9" w:rsidRDefault="003313F9" w:rsidP="00A52E0F">
      <w:pPr>
        <w:pStyle w:val="Header"/>
        <w:jc w:val="both"/>
        <w:rPr>
          <w:rFonts w:ascii="Arial" w:hAnsi="Arial" w:cs="Arial"/>
        </w:rPr>
      </w:pPr>
    </w:p>
    <w:p w:rsidR="003313F9" w:rsidRDefault="003313F9" w:rsidP="00A52E0F">
      <w:pPr>
        <w:pStyle w:val="Header"/>
        <w:jc w:val="both"/>
        <w:rPr>
          <w:rFonts w:ascii="Arial" w:hAnsi="Arial" w:cs="Arial"/>
        </w:rPr>
      </w:pPr>
    </w:p>
    <w:p w:rsidR="00A52E0F" w:rsidRDefault="00A52E0F" w:rsidP="00A52E0F">
      <w:pPr>
        <w:pStyle w:val="Header"/>
        <w:jc w:val="both"/>
        <w:rPr>
          <w:rFonts w:ascii="Arial" w:hAnsi="Arial" w:cs="Arial"/>
        </w:rPr>
      </w:pPr>
      <w:r>
        <w:rPr>
          <w:rFonts w:ascii="Arial" w:hAnsi="Arial" w:cs="Arial"/>
        </w:rPr>
        <w:lastRenderedPageBreak/>
        <w:t xml:space="preserve">The joint approach has been seen not only in the delivery of the plan itself but also in the effective coming together around planning for use of the additional £28m </w:t>
      </w:r>
      <w:proofErr w:type="spellStart"/>
      <w:r>
        <w:rPr>
          <w:rFonts w:ascii="Arial" w:hAnsi="Arial" w:cs="Arial"/>
        </w:rPr>
        <w:t>iBCF</w:t>
      </w:r>
      <w:proofErr w:type="spellEnd"/>
      <w:r>
        <w:rPr>
          <w:rFonts w:ascii="Arial" w:hAnsi="Arial" w:cs="Arial"/>
        </w:rPr>
        <w:t xml:space="preserve">, announced in year, managing the slippage that arose and ensuring that activity was appropriately directed to implementing </w:t>
      </w:r>
      <w:r w:rsidRPr="00A25865">
        <w:rPr>
          <w:rFonts w:ascii="Arial" w:hAnsi="Arial" w:cs="Arial"/>
          <w:i/>
        </w:rPr>
        <w:t>High Impact Change Model</w:t>
      </w:r>
      <w:r>
        <w:rPr>
          <w:rFonts w:ascii="Arial" w:hAnsi="Arial" w:cs="Arial"/>
        </w:rPr>
        <w:t xml:space="preserve"> for managing transfers of care.</w:t>
      </w:r>
    </w:p>
    <w:p w:rsidR="003313F9" w:rsidRDefault="003313F9" w:rsidP="00A52E0F">
      <w:pPr>
        <w:pStyle w:val="Header"/>
        <w:jc w:val="both"/>
        <w:rPr>
          <w:rFonts w:ascii="Arial" w:hAnsi="Arial" w:cs="Arial"/>
        </w:rPr>
      </w:pPr>
    </w:p>
    <w:p w:rsidR="00A52E0F" w:rsidRDefault="00A52E0F" w:rsidP="00A52E0F">
      <w:pPr>
        <w:pStyle w:val="Header"/>
        <w:jc w:val="both"/>
        <w:rPr>
          <w:rFonts w:ascii="Arial" w:hAnsi="Arial" w:cs="Arial"/>
        </w:rPr>
      </w:pPr>
      <w:r>
        <w:rPr>
          <w:rFonts w:ascii="Arial" w:hAnsi="Arial" w:cs="Arial"/>
        </w:rPr>
        <w:t xml:space="preserve">A further </w:t>
      </w:r>
      <w:r w:rsidRPr="00A25865">
        <w:rPr>
          <w:rFonts w:ascii="Arial" w:hAnsi="Arial" w:cs="Arial"/>
        </w:rPr>
        <w:t>significant area of progress, of wider integrated working, has been the continuing engagement with and input from the Voluntary sector and District Councils.</w:t>
      </w:r>
      <w:r>
        <w:rPr>
          <w:rFonts w:ascii="Arial" w:hAnsi="Arial" w:cs="Arial"/>
        </w:rPr>
        <w:t xml:space="preserve"> </w:t>
      </w:r>
    </w:p>
    <w:p w:rsidR="003313F9" w:rsidRDefault="003313F9" w:rsidP="00A52E0F">
      <w:pPr>
        <w:pStyle w:val="Header"/>
        <w:jc w:val="both"/>
        <w:rPr>
          <w:rFonts w:ascii="Arial" w:hAnsi="Arial" w:cs="Arial"/>
        </w:rPr>
      </w:pPr>
    </w:p>
    <w:p w:rsidR="00A52E0F" w:rsidRDefault="00A52E0F" w:rsidP="00A52E0F">
      <w:pPr>
        <w:pStyle w:val="Header"/>
        <w:jc w:val="both"/>
        <w:rPr>
          <w:rFonts w:ascii="Arial" w:hAnsi="Arial" w:cs="Arial"/>
        </w:rPr>
      </w:pPr>
      <w:r w:rsidRPr="00A25865">
        <w:rPr>
          <w:rFonts w:ascii="Arial" w:hAnsi="Arial" w:cs="Arial"/>
        </w:rPr>
        <w:t>The Voluntary Sector has created the "Active Ageing Alliance" and through it is working to develop and deliver a model of service provision that can be delivered across Lancashire as part of the emerging integrated models of care within the integrated neighbourhood team arrangements.</w:t>
      </w:r>
    </w:p>
    <w:p w:rsidR="003313F9" w:rsidRDefault="003313F9" w:rsidP="00A52E0F">
      <w:pPr>
        <w:pStyle w:val="Header"/>
        <w:jc w:val="both"/>
        <w:rPr>
          <w:rFonts w:ascii="Arial" w:hAnsi="Arial" w:cs="Arial"/>
        </w:rPr>
      </w:pPr>
    </w:p>
    <w:p w:rsidR="00A52E0F" w:rsidRDefault="00A52E0F" w:rsidP="00A52E0F">
      <w:pPr>
        <w:pStyle w:val="Header"/>
        <w:jc w:val="both"/>
        <w:rPr>
          <w:rFonts w:ascii="Arial" w:hAnsi="Arial" w:cs="Arial"/>
        </w:rPr>
      </w:pPr>
      <w:r w:rsidRPr="00A25865">
        <w:rPr>
          <w:rFonts w:ascii="Arial" w:hAnsi="Arial" w:cs="Arial"/>
        </w:rPr>
        <w:t>District Councils are playing a key role in developing new ways of using resources and meeting the aims of the BCF.</w:t>
      </w:r>
      <w:r w:rsidR="003313F9">
        <w:rPr>
          <w:rFonts w:ascii="Arial" w:hAnsi="Arial" w:cs="Arial"/>
        </w:rPr>
        <w:t xml:space="preserve"> </w:t>
      </w:r>
      <w:r w:rsidRPr="00A25865">
        <w:rPr>
          <w:rFonts w:ascii="Arial" w:hAnsi="Arial" w:cs="Arial"/>
        </w:rPr>
        <w:t xml:space="preserve"> In Fylde and Wyre, a District Council led development of "Wyre and Fylde Independent Living Partnership", partly funded through </w:t>
      </w:r>
      <w:proofErr w:type="spellStart"/>
      <w:r w:rsidRPr="00A25865">
        <w:rPr>
          <w:rFonts w:ascii="Arial" w:hAnsi="Arial" w:cs="Arial"/>
        </w:rPr>
        <w:t>iBCF</w:t>
      </w:r>
      <w:proofErr w:type="spellEnd"/>
      <w:r w:rsidRPr="00A25865">
        <w:rPr>
          <w:rFonts w:ascii="Arial" w:hAnsi="Arial" w:cs="Arial"/>
        </w:rPr>
        <w:t xml:space="preserve">, </w:t>
      </w:r>
      <w:proofErr w:type="gramStart"/>
      <w:r w:rsidRPr="00A25865">
        <w:rPr>
          <w:rFonts w:ascii="Arial" w:hAnsi="Arial" w:cs="Arial"/>
        </w:rPr>
        <w:t>is</w:t>
      </w:r>
      <w:proofErr w:type="gramEnd"/>
      <w:r w:rsidRPr="00A25865">
        <w:rPr>
          <w:rFonts w:ascii="Arial" w:hAnsi="Arial" w:cs="Arial"/>
        </w:rPr>
        <w:t xml:space="preserve"> looking to place support to stay at home at the forefront of improving outco</w:t>
      </w:r>
      <w:r>
        <w:rPr>
          <w:rFonts w:ascii="Arial" w:hAnsi="Arial" w:cs="Arial"/>
        </w:rPr>
        <w:t xml:space="preserve">mes across health and wellbeing. </w:t>
      </w:r>
      <w:r w:rsidR="003313F9">
        <w:rPr>
          <w:rFonts w:ascii="Arial" w:hAnsi="Arial" w:cs="Arial"/>
        </w:rPr>
        <w:t xml:space="preserve"> </w:t>
      </w:r>
      <w:r>
        <w:rPr>
          <w:rFonts w:ascii="Arial" w:hAnsi="Arial" w:cs="Arial"/>
        </w:rPr>
        <w:t xml:space="preserve">It has </w:t>
      </w:r>
      <w:r w:rsidRPr="00A25865">
        <w:rPr>
          <w:rFonts w:ascii="Arial" w:hAnsi="Arial" w:cs="Arial"/>
        </w:rPr>
        <w:t>highlighted opportunities focussed on the work of Care and Repair, the delivery of Disabled Facilities Grants</w:t>
      </w:r>
      <w:r>
        <w:rPr>
          <w:rFonts w:ascii="Arial" w:hAnsi="Arial" w:cs="Arial"/>
        </w:rPr>
        <w:t>, improved collaborative working and pathway redesign.</w:t>
      </w:r>
    </w:p>
    <w:p w:rsidR="00A52E0F" w:rsidRPr="00A0296F" w:rsidRDefault="00A52E0F" w:rsidP="00A52E0F">
      <w:pPr>
        <w:pStyle w:val="Header"/>
        <w:jc w:val="both"/>
        <w:rPr>
          <w:rFonts w:ascii="Arial" w:hAnsi="Arial" w:cs="Arial"/>
        </w:rPr>
      </w:pPr>
    </w:p>
    <w:p w:rsidR="00A52E0F" w:rsidRDefault="00A52E0F" w:rsidP="00A52E0F">
      <w:pPr>
        <w:pStyle w:val="Header"/>
        <w:jc w:val="both"/>
        <w:rPr>
          <w:rFonts w:ascii="Arial" w:hAnsi="Arial" w:cs="Arial"/>
          <w:b/>
        </w:rPr>
      </w:pPr>
      <w:r>
        <w:rPr>
          <w:rFonts w:ascii="Arial" w:hAnsi="Arial" w:cs="Arial"/>
          <w:b/>
        </w:rPr>
        <w:t>Lancashire Better Care Fund Financial Performance 2017/18</w:t>
      </w:r>
    </w:p>
    <w:p w:rsidR="003313F9" w:rsidRPr="005B3B86" w:rsidRDefault="003313F9" w:rsidP="00A52E0F">
      <w:pPr>
        <w:pStyle w:val="Header"/>
        <w:jc w:val="both"/>
        <w:rPr>
          <w:rFonts w:ascii="Arial" w:hAnsi="Arial" w:cs="Arial"/>
          <w:b/>
        </w:rPr>
      </w:pPr>
    </w:p>
    <w:p w:rsidR="00A52E0F" w:rsidRDefault="00A52E0F" w:rsidP="00A52E0F">
      <w:pPr>
        <w:pStyle w:val="Header"/>
        <w:jc w:val="both"/>
        <w:rPr>
          <w:rFonts w:ascii="Arial" w:hAnsi="Arial" w:cs="Arial"/>
        </w:rPr>
      </w:pPr>
      <w:r w:rsidRPr="005B3B86">
        <w:rPr>
          <w:rFonts w:ascii="Arial" w:hAnsi="Arial" w:cs="Arial"/>
        </w:rPr>
        <w:t xml:space="preserve">The financial performance of the fund </w:t>
      </w:r>
      <w:r>
        <w:rPr>
          <w:rFonts w:ascii="Arial" w:hAnsi="Arial" w:cs="Arial"/>
        </w:rPr>
        <w:t>was</w:t>
      </w:r>
      <w:r w:rsidRPr="005B3B86">
        <w:rPr>
          <w:rFonts w:ascii="Arial" w:hAnsi="Arial" w:cs="Arial"/>
        </w:rPr>
        <w:t xml:space="preserve"> in line with plan. </w:t>
      </w:r>
    </w:p>
    <w:p w:rsidR="003313F9" w:rsidRDefault="003313F9" w:rsidP="00A52E0F">
      <w:pPr>
        <w:pStyle w:val="Header"/>
        <w:jc w:val="both"/>
        <w:rPr>
          <w:rFonts w:ascii="Arial" w:hAnsi="Arial" w:cs="Arial"/>
        </w:rPr>
      </w:pPr>
    </w:p>
    <w:p w:rsidR="00A52E0F" w:rsidRDefault="00A52E0F" w:rsidP="00A52E0F">
      <w:pPr>
        <w:pStyle w:val="Header"/>
        <w:jc w:val="both"/>
        <w:rPr>
          <w:rFonts w:ascii="Arial" w:hAnsi="Arial" w:cs="Arial"/>
        </w:rPr>
      </w:pPr>
      <w:r>
        <w:rPr>
          <w:rFonts w:ascii="Arial" w:hAnsi="Arial" w:cs="Arial"/>
        </w:rPr>
        <w:t xml:space="preserve">Planned and actual income and expenditure was </w:t>
      </w:r>
      <w:r w:rsidRPr="00F5733A">
        <w:rPr>
          <w:rFonts w:ascii="Arial" w:hAnsi="Arial" w:cs="Arial"/>
        </w:rPr>
        <w:t>£122,032,963</w:t>
      </w:r>
      <w:r>
        <w:rPr>
          <w:rFonts w:ascii="Arial" w:hAnsi="Arial" w:cs="Arial"/>
        </w:rPr>
        <w:t>.</w:t>
      </w:r>
    </w:p>
    <w:p w:rsidR="003313F9" w:rsidRDefault="003313F9" w:rsidP="00A52E0F">
      <w:pPr>
        <w:pStyle w:val="Header"/>
        <w:jc w:val="both"/>
        <w:rPr>
          <w:rFonts w:ascii="Arial" w:hAnsi="Arial" w:cs="Arial"/>
        </w:rPr>
      </w:pPr>
    </w:p>
    <w:p w:rsidR="00A52E0F" w:rsidRDefault="00A52E0F" w:rsidP="00A52E0F">
      <w:pPr>
        <w:pStyle w:val="Header"/>
        <w:jc w:val="both"/>
        <w:rPr>
          <w:rFonts w:ascii="Arial" w:hAnsi="Arial" w:cs="Arial"/>
        </w:rPr>
      </w:pPr>
      <w:r>
        <w:rPr>
          <w:rFonts w:ascii="Arial" w:hAnsi="Arial" w:cs="Arial"/>
        </w:rPr>
        <w:t>This was made up of:</w:t>
      </w:r>
      <w:r>
        <w:rPr>
          <w:rFonts w:ascii="Arial" w:hAnsi="Arial" w:cs="Arial"/>
        </w:rPr>
        <w:tab/>
      </w:r>
    </w:p>
    <w:p w:rsidR="003313F9" w:rsidRDefault="003313F9" w:rsidP="00A52E0F">
      <w:pPr>
        <w:pStyle w:val="Header"/>
        <w:jc w:val="both"/>
        <w:rPr>
          <w:rFonts w:ascii="Arial" w:hAnsi="Arial" w:cs="Arial"/>
        </w:rPr>
      </w:pPr>
    </w:p>
    <w:tbl>
      <w:tblPr>
        <w:tblW w:w="6941" w:type="dxa"/>
        <w:tblInd w:w="113" w:type="dxa"/>
        <w:tblLook w:val="04A0" w:firstRow="1" w:lastRow="0" w:firstColumn="1" w:lastColumn="0" w:noHBand="0" w:noVBand="1"/>
      </w:tblPr>
      <w:tblGrid>
        <w:gridCol w:w="3823"/>
        <w:gridCol w:w="3118"/>
      </w:tblGrid>
      <w:tr w:rsidR="00A52E0F" w:rsidRPr="00296B18" w:rsidTr="007208F8">
        <w:trPr>
          <w:trHeight w:val="284"/>
        </w:trPr>
        <w:tc>
          <w:tcPr>
            <w:tcW w:w="3823"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A52E0F" w:rsidRPr="00296B18" w:rsidRDefault="00A52E0F" w:rsidP="007208F8">
            <w:pPr>
              <w:rPr>
                <w:rFonts w:cs="Arial"/>
                <w:color w:val="FFFFFF"/>
                <w:szCs w:val="24"/>
              </w:rPr>
            </w:pPr>
            <w:r w:rsidRPr="00296B18">
              <w:rPr>
                <w:rFonts w:cs="Arial"/>
                <w:color w:val="FFFFFF"/>
                <w:szCs w:val="24"/>
              </w:rPr>
              <w:t>Disabled Facilities Grant</w:t>
            </w:r>
          </w:p>
        </w:tc>
        <w:tc>
          <w:tcPr>
            <w:tcW w:w="3118" w:type="dxa"/>
            <w:tcBorders>
              <w:top w:val="nil"/>
              <w:left w:val="nil"/>
              <w:bottom w:val="single" w:sz="4" w:space="0" w:color="auto"/>
              <w:right w:val="single" w:sz="4" w:space="0" w:color="auto"/>
            </w:tcBorders>
            <w:shd w:val="clear" w:color="000000" w:fill="C8D7EA"/>
            <w:noWrap/>
            <w:vAlign w:val="bottom"/>
            <w:hideMark/>
          </w:tcPr>
          <w:p w:rsidR="00A52E0F" w:rsidRPr="00296B18" w:rsidRDefault="00A52E0F" w:rsidP="007208F8">
            <w:pPr>
              <w:rPr>
                <w:rFonts w:cs="Arial"/>
                <w:color w:val="000000"/>
                <w:szCs w:val="24"/>
              </w:rPr>
            </w:pPr>
            <w:r w:rsidRPr="00296B18">
              <w:rPr>
                <w:rFonts w:cs="Arial"/>
                <w:color w:val="000000"/>
                <w:szCs w:val="24"/>
              </w:rPr>
              <w:t xml:space="preserve"> £       12,564,947 </w:t>
            </w:r>
          </w:p>
        </w:tc>
      </w:tr>
      <w:tr w:rsidR="00A52E0F" w:rsidRPr="00296B18" w:rsidTr="007208F8">
        <w:trPr>
          <w:trHeight w:val="300"/>
        </w:trPr>
        <w:tc>
          <w:tcPr>
            <w:tcW w:w="3823" w:type="dxa"/>
            <w:tcBorders>
              <w:top w:val="nil"/>
              <w:left w:val="single" w:sz="4" w:space="0" w:color="auto"/>
              <w:bottom w:val="single" w:sz="4" w:space="0" w:color="auto"/>
              <w:right w:val="single" w:sz="4" w:space="0" w:color="auto"/>
            </w:tcBorders>
            <w:shd w:val="clear" w:color="000000" w:fill="0070C0"/>
            <w:noWrap/>
            <w:vAlign w:val="bottom"/>
            <w:hideMark/>
          </w:tcPr>
          <w:p w:rsidR="00A52E0F" w:rsidRPr="00296B18" w:rsidRDefault="00A52E0F" w:rsidP="007208F8">
            <w:pPr>
              <w:rPr>
                <w:rFonts w:cs="Arial"/>
                <w:color w:val="FFFFFF"/>
                <w:szCs w:val="24"/>
              </w:rPr>
            </w:pPr>
            <w:r w:rsidRPr="00296B18">
              <w:rPr>
                <w:rFonts w:cs="Arial"/>
                <w:color w:val="FFFFFF"/>
                <w:szCs w:val="24"/>
              </w:rPr>
              <w:t>Improved Better Care Fund</w:t>
            </w:r>
          </w:p>
        </w:tc>
        <w:tc>
          <w:tcPr>
            <w:tcW w:w="3118" w:type="dxa"/>
            <w:tcBorders>
              <w:top w:val="nil"/>
              <w:left w:val="nil"/>
              <w:bottom w:val="single" w:sz="4" w:space="0" w:color="auto"/>
              <w:right w:val="single" w:sz="4" w:space="0" w:color="auto"/>
            </w:tcBorders>
            <w:shd w:val="clear" w:color="000000" w:fill="C8D7EA"/>
            <w:noWrap/>
            <w:vAlign w:val="bottom"/>
            <w:hideMark/>
          </w:tcPr>
          <w:p w:rsidR="00A52E0F" w:rsidRPr="00296B18" w:rsidRDefault="00A52E0F" w:rsidP="007208F8">
            <w:pPr>
              <w:rPr>
                <w:rFonts w:cs="Arial"/>
                <w:color w:val="000000"/>
                <w:szCs w:val="24"/>
              </w:rPr>
            </w:pPr>
            <w:r w:rsidRPr="00296B18">
              <w:rPr>
                <w:rFonts w:cs="Arial"/>
                <w:color w:val="000000"/>
                <w:szCs w:val="24"/>
              </w:rPr>
              <w:t xml:space="preserve"> £       28,096,072 </w:t>
            </w:r>
          </w:p>
        </w:tc>
      </w:tr>
      <w:tr w:rsidR="00A52E0F" w:rsidRPr="00296B18" w:rsidTr="007208F8">
        <w:trPr>
          <w:trHeight w:val="315"/>
        </w:trPr>
        <w:tc>
          <w:tcPr>
            <w:tcW w:w="3823" w:type="dxa"/>
            <w:tcBorders>
              <w:top w:val="nil"/>
              <w:left w:val="single" w:sz="4" w:space="0" w:color="auto"/>
              <w:bottom w:val="single" w:sz="12" w:space="0" w:color="auto"/>
              <w:right w:val="single" w:sz="4" w:space="0" w:color="auto"/>
            </w:tcBorders>
            <w:shd w:val="clear" w:color="000000" w:fill="0070C0"/>
            <w:noWrap/>
            <w:vAlign w:val="bottom"/>
            <w:hideMark/>
          </w:tcPr>
          <w:p w:rsidR="00A52E0F" w:rsidRPr="00296B18" w:rsidRDefault="00A52E0F" w:rsidP="007208F8">
            <w:pPr>
              <w:rPr>
                <w:rFonts w:cs="Arial"/>
                <w:color w:val="FFFFFF"/>
                <w:szCs w:val="24"/>
              </w:rPr>
            </w:pPr>
            <w:r w:rsidRPr="00296B18">
              <w:rPr>
                <w:rFonts w:cs="Arial"/>
                <w:color w:val="FFFFFF"/>
                <w:szCs w:val="24"/>
              </w:rPr>
              <w:t>CCG Minimum Fund</w:t>
            </w:r>
          </w:p>
        </w:tc>
        <w:tc>
          <w:tcPr>
            <w:tcW w:w="3118" w:type="dxa"/>
            <w:tcBorders>
              <w:top w:val="nil"/>
              <w:left w:val="nil"/>
              <w:bottom w:val="single" w:sz="12" w:space="0" w:color="auto"/>
              <w:right w:val="single" w:sz="4" w:space="0" w:color="auto"/>
            </w:tcBorders>
            <w:shd w:val="clear" w:color="000000" w:fill="C8D7EA"/>
            <w:noWrap/>
            <w:vAlign w:val="bottom"/>
            <w:hideMark/>
          </w:tcPr>
          <w:p w:rsidR="00A52E0F" w:rsidRPr="00296B18" w:rsidRDefault="00A52E0F" w:rsidP="007208F8">
            <w:pPr>
              <w:rPr>
                <w:rFonts w:cs="Arial"/>
                <w:color w:val="000000"/>
                <w:szCs w:val="24"/>
              </w:rPr>
            </w:pPr>
            <w:r w:rsidRPr="00296B18">
              <w:rPr>
                <w:rFonts w:cs="Arial"/>
                <w:color w:val="000000"/>
                <w:szCs w:val="24"/>
              </w:rPr>
              <w:t xml:space="preserve"> £       81,371,944 </w:t>
            </w:r>
          </w:p>
        </w:tc>
      </w:tr>
      <w:tr w:rsidR="00A52E0F" w:rsidRPr="00296B18" w:rsidTr="007208F8">
        <w:trPr>
          <w:trHeight w:val="315"/>
        </w:trPr>
        <w:tc>
          <w:tcPr>
            <w:tcW w:w="3823" w:type="dxa"/>
            <w:tcBorders>
              <w:top w:val="single" w:sz="12" w:space="0" w:color="auto"/>
              <w:left w:val="single" w:sz="4" w:space="0" w:color="auto"/>
              <w:bottom w:val="single" w:sz="4" w:space="0" w:color="auto"/>
              <w:right w:val="single" w:sz="4" w:space="0" w:color="auto"/>
            </w:tcBorders>
            <w:shd w:val="clear" w:color="000000" w:fill="0070C0"/>
            <w:noWrap/>
            <w:vAlign w:val="bottom"/>
          </w:tcPr>
          <w:p w:rsidR="00A52E0F" w:rsidRPr="00296B18" w:rsidRDefault="00A52E0F" w:rsidP="007208F8">
            <w:pPr>
              <w:rPr>
                <w:rFonts w:cs="Arial"/>
                <w:color w:val="FFFFFF"/>
                <w:szCs w:val="24"/>
              </w:rPr>
            </w:pPr>
            <w:r w:rsidRPr="00296B18">
              <w:rPr>
                <w:rFonts w:cs="Arial"/>
                <w:color w:val="FFFFFF"/>
                <w:szCs w:val="24"/>
              </w:rPr>
              <w:t>Total</w:t>
            </w:r>
          </w:p>
        </w:tc>
        <w:tc>
          <w:tcPr>
            <w:tcW w:w="3118" w:type="dxa"/>
            <w:tcBorders>
              <w:top w:val="single" w:sz="12" w:space="0" w:color="auto"/>
              <w:left w:val="nil"/>
              <w:bottom w:val="single" w:sz="4" w:space="0" w:color="auto"/>
              <w:right w:val="single" w:sz="4" w:space="0" w:color="auto"/>
            </w:tcBorders>
            <w:shd w:val="clear" w:color="000000" w:fill="C8D7EA"/>
            <w:noWrap/>
            <w:vAlign w:val="bottom"/>
          </w:tcPr>
          <w:p w:rsidR="00A52E0F" w:rsidRPr="00296B18" w:rsidRDefault="00A52E0F" w:rsidP="007208F8">
            <w:pPr>
              <w:rPr>
                <w:rFonts w:cs="Arial"/>
                <w:color w:val="000000"/>
                <w:szCs w:val="24"/>
              </w:rPr>
            </w:pPr>
            <w:r w:rsidRPr="00296B18">
              <w:rPr>
                <w:rFonts w:cs="Arial"/>
                <w:color w:val="000000"/>
                <w:szCs w:val="24"/>
              </w:rPr>
              <w:t>£      122,032,963</w:t>
            </w:r>
          </w:p>
        </w:tc>
      </w:tr>
    </w:tbl>
    <w:p w:rsidR="00A52E0F" w:rsidRDefault="00A52E0F" w:rsidP="00A52E0F">
      <w:pPr>
        <w:pStyle w:val="Header"/>
        <w:jc w:val="both"/>
        <w:rPr>
          <w:rFonts w:ascii="Arial" w:hAnsi="Arial" w:cs="Arial"/>
        </w:rPr>
      </w:pPr>
    </w:p>
    <w:p w:rsidR="00A52E0F" w:rsidRDefault="00A52E0F" w:rsidP="00A52E0F">
      <w:pPr>
        <w:pStyle w:val="Header"/>
        <w:jc w:val="both"/>
        <w:rPr>
          <w:rFonts w:ascii="Arial" w:hAnsi="Arial" w:cs="Arial"/>
          <w:b/>
        </w:rPr>
      </w:pPr>
      <w:r w:rsidRPr="001E3644">
        <w:rPr>
          <w:rFonts w:ascii="Arial" w:hAnsi="Arial" w:cs="Arial"/>
          <w:b/>
        </w:rPr>
        <w:t>Delayed Transfers of Care Diagnostic</w:t>
      </w:r>
    </w:p>
    <w:p w:rsidR="003313F9" w:rsidRDefault="003313F9" w:rsidP="00A52E0F">
      <w:pPr>
        <w:pStyle w:val="Header"/>
        <w:jc w:val="both"/>
        <w:rPr>
          <w:rFonts w:ascii="Arial" w:hAnsi="Arial" w:cs="Arial"/>
          <w:b/>
        </w:rPr>
      </w:pPr>
    </w:p>
    <w:p w:rsidR="00A52E0F" w:rsidRDefault="00A52E0F" w:rsidP="003313F9">
      <w:pPr>
        <w:jc w:val="both"/>
        <w:rPr>
          <w:rFonts w:cs="Arial"/>
        </w:rPr>
      </w:pPr>
      <w:r>
        <w:rPr>
          <w:rFonts w:cs="Arial"/>
        </w:rPr>
        <w:t xml:space="preserve">The diagnostic work </w:t>
      </w:r>
      <w:r w:rsidRPr="00BD3497">
        <w:rPr>
          <w:rFonts w:cs="Arial"/>
        </w:rPr>
        <w:t>funded by NHSE and LGA and carried out by Newton Europe</w:t>
      </w:r>
      <w:r>
        <w:rPr>
          <w:rFonts w:cs="Arial"/>
        </w:rPr>
        <w:t xml:space="preserve"> at Lancashire Teaching Hospitals Trust began in late May. </w:t>
      </w:r>
      <w:r w:rsidR="003313F9">
        <w:rPr>
          <w:rFonts w:cs="Arial"/>
        </w:rPr>
        <w:t xml:space="preserve"> </w:t>
      </w:r>
      <w:r>
        <w:rPr>
          <w:rFonts w:cs="Arial"/>
        </w:rPr>
        <w:t>To date:</w:t>
      </w:r>
    </w:p>
    <w:p w:rsidR="003313F9" w:rsidRDefault="003313F9" w:rsidP="003313F9">
      <w:pPr>
        <w:jc w:val="both"/>
        <w:rPr>
          <w:rFonts w:cs="Arial"/>
        </w:rPr>
      </w:pPr>
    </w:p>
    <w:p w:rsidR="00A52E0F" w:rsidRDefault="00A52E0F" w:rsidP="003313F9">
      <w:pPr>
        <w:numPr>
          <w:ilvl w:val="0"/>
          <w:numId w:val="1"/>
        </w:numPr>
        <w:ind w:left="360"/>
        <w:jc w:val="both"/>
        <w:rPr>
          <w:rFonts w:ascii="Calibri" w:hAnsi="Calibri"/>
          <w:sz w:val="22"/>
        </w:rPr>
      </w:pPr>
      <w:r>
        <w:t>The Assessment has been completed and leade</w:t>
      </w:r>
      <w:r w:rsidR="003313F9">
        <w:t>rship survey has been completed.</w:t>
      </w:r>
    </w:p>
    <w:p w:rsidR="00A52E0F" w:rsidRDefault="00A52E0F" w:rsidP="003313F9">
      <w:pPr>
        <w:numPr>
          <w:ilvl w:val="0"/>
          <w:numId w:val="2"/>
        </w:numPr>
        <w:ind w:left="360"/>
        <w:jc w:val="both"/>
      </w:pPr>
      <w:r>
        <w:t>The findings have been shared with partner leaders individually who have positively received them</w:t>
      </w:r>
      <w:r w:rsidR="003313F9">
        <w:t>.</w:t>
      </w:r>
    </w:p>
    <w:p w:rsidR="00A52E0F" w:rsidRDefault="00A52E0F" w:rsidP="003313F9">
      <w:pPr>
        <w:numPr>
          <w:ilvl w:val="0"/>
          <w:numId w:val="2"/>
        </w:numPr>
        <w:ind w:left="360"/>
        <w:jc w:val="both"/>
      </w:pPr>
      <w:r>
        <w:t>Findings</w:t>
      </w:r>
      <w:r w:rsidRPr="00BC61D1">
        <w:t>, both technical and cultural</w:t>
      </w:r>
      <w:r>
        <w:t>, were shared at a stakeholder summit on 25</w:t>
      </w:r>
      <w:r w:rsidRPr="00BC61D1">
        <w:rPr>
          <w:vertAlign w:val="superscript"/>
        </w:rPr>
        <w:t>th</w:t>
      </w:r>
      <w:r>
        <w:t xml:space="preserve"> June and laid open for discussion and challenge.</w:t>
      </w:r>
    </w:p>
    <w:p w:rsidR="00A52E0F" w:rsidRDefault="00A52E0F" w:rsidP="003313F9">
      <w:pPr>
        <w:numPr>
          <w:ilvl w:val="0"/>
          <w:numId w:val="2"/>
        </w:numPr>
        <w:ind w:left="360"/>
        <w:jc w:val="both"/>
      </w:pPr>
      <w:r>
        <w:t>There was consolidation of the key messages and themes of improvement.</w:t>
      </w:r>
    </w:p>
    <w:p w:rsidR="00A52E0F" w:rsidRDefault="00A52E0F" w:rsidP="003313F9">
      <w:pPr>
        <w:numPr>
          <w:ilvl w:val="0"/>
          <w:numId w:val="2"/>
        </w:numPr>
        <w:ind w:left="360"/>
        <w:jc w:val="both"/>
      </w:pPr>
      <w:r>
        <w:t>Stakeholders considered:</w:t>
      </w:r>
    </w:p>
    <w:p w:rsidR="00A52E0F" w:rsidRDefault="00A52E0F" w:rsidP="003313F9">
      <w:pPr>
        <w:numPr>
          <w:ilvl w:val="1"/>
          <w:numId w:val="2"/>
        </w:numPr>
        <w:ind w:left="720"/>
        <w:jc w:val="both"/>
      </w:pPr>
      <w:r>
        <w:t xml:space="preserve">How to build the themes of improvement into plans across the system considering: </w:t>
      </w:r>
    </w:p>
    <w:p w:rsidR="00A52E0F" w:rsidRDefault="00A52E0F" w:rsidP="003313F9">
      <w:pPr>
        <w:numPr>
          <w:ilvl w:val="2"/>
          <w:numId w:val="2"/>
        </w:numPr>
        <w:ind w:left="1080"/>
        <w:jc w:val="both"/>
      </w:pPr>
      <w:r>
        <w:t>Do the themes already exist in plans?</w:t>
      </w:r>
    </w:p>
    <w:p w:rsidR="00A52E0F" w:rsidRDefault="00A52E0F" w:rsidP="003313F9">
      <w:pPr>
        <w:numPr>
          <w:ilvl w:val="2"/>
          <w:numId w:val="2"/>
        </w:numPr>
        <w:ind w:left="1080"/>
        <w:jc w:val="both"/>
      </w:pPr>
      <w:r>
        <w:t>Who will own the themes and associated actions?</w:t>
      </w:r>
    </w:p>
    <w:p w:rsidR="00A52E0F" w:rsidRDefault="00A52E0F" w:rsidP="003313F9">
      <w:pPr>
        <w:numPr>
          <w:ilvl w:val="2"/>
          <w:numId w:val="2"/>
        </w:numPr>
        <w:ind w:left="1080"/>
        <w:jc w:val="both"/>
      </w:pPr>
      <w:r>
        <w:t>How they will be prioritised</w:t>
      </w:r>
    </w:p>
    <w:p w:rsidR="00A52E0F" w:rsidRDefault="00A52E0F" w:rsidP="003313F9">
      <w:pPr>
        <w:numPr>
          <w:ilvl w:val="2"/>
          <w:numId w:val="2"/>
        </w:numPr>
        <w:ind w:left="1080"/>
        <w:jc w:val="both"/>
      </w:pPr>
      <w:r>
        <w:t>Identify the capacity to mobilise against the themes.</w:t>
      </w:r>
    </w:p>
    <w:p w:rsidR="00A52E0F" w:rsidRDefault="00A52E0F" w:rsidP="003313F9">
      <w:pPr>
        <w:numPr>
          <w:ilvl w:val="2"/>
          <w:numId w:val="2"/>
        </w:numPr>
        <w:ind w:left="1080"/>
        <w:jc w:val="both"/>
      </w:pPr>
      <w:r>
        <w:t xml:space="preserve">Identify project enablers such as: Data and informatics, HR, Communications, PMO, Finance, Design leads </w:t>
      </w:r>
      <w:proofErr w:type="spellStart"/>
      <w:r>
        <w:t>etc</w:t>
      </w:r>
      <w:proofErr w:type="spellEnd"/>
    </w:p>
    <w:p w:rsidR="00A52E0F" w:rsidRDefault="00A52E0F" w:rsidP="003313F9">
      <w:pPr>
        <w:numPr>
          <w:ilvl w:val="2"/>
          <w:numId w:val="2"/>
        </w:numPr>
        <w:ind w:left="1080"/>
        <w:jc w:val="both"/>
      </w:pPr>
      <w:r>
        <w:t>Agree targets and trajectory of improvement, including a broad suite of KPIs.</w:t>
      </w:r>
    </w:p>
    <w:p w:rsidR="00A52E0F" w:rsidRDefault="00A52E0F" w:rsidP="003313F9">
      <w:pPr>
        <w:numPr>
          <w:ilvl w:val="1"/>
          <w:numId w:val="2"/>
        </w:numPr>
        <w:ind w:left="709" w:hanging="283"/>
        <w:jc w:val="both"/>
      </w:pPr>
      <w:r>
        <w:lastRenderedPageBreak/>
        <w:t>The nature and format of a second summit, owned by local stakeholders, to launch the work</w:t>
      </w:r>
    </w:p>
    <w:p w:rsidR="003313F9" w:rsidRDefault="003313F9" w:rsidP="003313F9">
      <w:pPr>
        <w:pStyle w:val="Header"/>
        <w:jc w:val="both"/>
        <w:rPr>
          <w:rFonts w:ascii="Arial" w:hAnsi="Arial" w:cs="Arial"/>
          <w:b/>
        </w:rPr>
      </w:pPr>
    </w:p>
    <w:p w:rsidR="00A52E0F" w:rsidRDefault="00A52E0F" w:rsidP="003313F9">
      <w:pPr>
        <w:pStyle w:val="Header"/>
        <w:jc w:val="both"/>
        <w:rPr>
          <w:rFonts w:ascii="Arial" w:hAnsi="Arial" w:cs="Arial"/>
          <w:b/>
        </w:rPr>
      </w:pPr>
      <w:r>
        <w:rPr>
          <w:rFonts w:ascii="Arial" w:hAnsi="Arial" w:cs="Arial"/>
          <w:b/>
        </w:rPr>
        <w:t>Lancashire Better Care Fund Planning</w:t>
      </w:r>
    </w:p>
    <w:p w:rsidR="003313F9" w:rsidRDefault="003313F9" w:rsidP="003313F9">
      <w:pPr>
        <w:pStyle w:val="Header"/>
        <w:jc w:val="both"/>
        <w:rPr>
          <w:rFonts w:ascii="Arial" w:hAnsi="Arial" w:cs="Arial"/>
          <w:b/>
        </w:rPr>
      </w:pPr>
    </w:p>
    <w:p w:rsidR="00A52E0F" w:rsidRDefault="00A52E0F" w:rsidP="003313F9">
      <w:pPr>
        <w:pStyle w:val="Header"/>
        <w:jc w:val="both"/>
        <w:rPr>
          <w:rFonts w:ascii="Arial" w:hAnsi="Arial" w:cs="Arial"/>
        </w:rPr>
      </w:pPr>
      <w:r w:rsidRPr="001E3644">
        <w:rPr>
          <w:rFonts w:ascii="Arial" w:hAnsi="Arial" w:cs="Arial"/>
        </w:rPr>
        <w:t xml:space="preserve">The </w:t>
      </w:r>
      <w:r>
        <w:rPr>
          <w:rFonts w:ascii="Arial" w:hAnsi="Arial" w:cs="Arial"/>
        </w:rPr>
        <w:t xml:space="preserve">current BCF and </w:t>
      </w:r>
      <w:proofErr w:type="spellStart"/>
      <w:r>
        <w:rPr>
          <w:rFonts w:ascii="Arial" w:hAnsi="Arial" w:cs="Arial"/>
        </w:rPr>
        <w:t>iBCF</w:t>
      </w:r>
      <w:proofErr w:type="spellEnd"/>
      <w:r>
        <w:rPr>
          <w:rFonts w:ascii="Arial" w:hAnsi="Arial" w:cs="Arial"/>
        </w:rPr>
        <w:t xml:space="preserve"> plan covers 2017 to 2019.</w:t>
      </w:r>
      <w:r w:rsidR="003313F9">
        <w:rPr>
          <w:rFonts w:ascii="Arial" w:hAnsi="Arial" w:cs="Arial"/>
        </w:rPr>
        <w:t xml:space="preserve"> </w:t>
      </w:r>
      <w:r>
        <w:rPr>
          <w:rFonts w:ascii="Arial" w:hAnsi="Arial" w:cs="Arial"/>
        </w:rPr>
        <w:t xml:space="preserve"> Having a two year plan has avoided the need for a protracted planning process.</w:t>
      </w:r>
      <w:r w:rsidR="003313F9">
        <w:rPr>
          <w:rFonts w:ascii="Arial" w:hAnsi="Arial" w:cs="Arial"/>
        </w:rPr>
        <w:t xml:space="preserve"> </w:t>
      </w:r>
      <w:r>
        <w:rPr>
          <w:rFonts w:ascii="Arial" w:hAnsi="Arial" w:cs="Arial"/>
        </w:rPr>
        <w:t xml:space="preserve"> The change management process will ensure that any amendments, in year, receive HWB approval. </w:t>
      </w:r>
    </w:p>
    <w:p w:rsidR="003313F9" w:rsidRDefault="003313F9" w:rsidP="003313F9">
      <w:pPr>
        <w:pStyle w:val="Header"/>
        <w:jc w:val="both"/>
        <w:rPr>
          <w:rFonts w:ascii="Arial" w:hAnsi="Arial" w:cs="Arial"/>
        </w:rPr>
      </w:pPr>
    </w:p>
    <w:p w:rsidR="00A52E0F" w:rsidRDefault="00A52E0F" w:rsidP="003313F9">
      <w:pPr>
        <w:pStyle w:val="Header"/>
        <w:jc w:val="both"/>
        <w:rPr>
          <w:rFonts w:ascii="Arial" w:hAnsi="Arial" w:cs="Arial"/>
        </w:rPr>
      </w:pPr>
      <w:r w:rsidRPr="00D814C5">
        <w:rPr>
          <w:rFonts w:ascii="Arial" w:hAnsi="Arial" w:cs="Arial"/>
        </w:rPr>
        <w:t>On the 18th of June the secretary of Health and Social Care made a statement following the Prime Minister’s announcement on future funding plans for the NHS.</w:t>
      </w:r>
      <w:r w:rsidR="003313F9">
        <w:rPr>
          <w:rFonts w:ascii="Arial" w:hAnsi="Arial" w:cs="Arial"/>
        </w:rPr>
        <w:t xml:space="preserve"> </w:t>
      </w:r>
      <w:r w:rsidRPr="00D814C5">
        <w:rPr>
          <w:rFonts w:ascii="Arial" w:hAnsi="Arial" w:cs="Arial"/>
        </w:rPr>
        <w:t xml:space="preserve"> In his statement, he reiterated the importance of the full integration of health and social care and the role of the Better Care Fund</w:t>
      </w:r>
      <w:r>
        <w:rPr>
          <w:rFonts w:ascii="Arial" w:hAnsi="Arial" w:cs="Arial"/>
        </w:rPr>
        <w:t>.</w:t>
      </w:r>
    </w:p>
    <w:p w:rsidR="003313F9" w:rsidRDefault="003313F9" w:rsidP="003313F9">
      <w:pPr>
        <w:pStyle w:val="Header"/>
        <w:jc w:val="both"/>
        <w:rPr>
          <w:rFonts w:ascii="Arial" w:hAnsi="Arial" w:cs="Arial"/>
        </w:rPr>
      </w:pPr>
    </w:p>
    <w:p w:rsidR="00A52E0F" w:rsidRDefault="00A52E0F" w:rsidP="003313F9">
      <w:pPr>
        <w:pStyle w:val="Header"/>
        <w:jc w:val="both"/>
        <w:rPr>
          <w:rFonts w:ascii="Arial" w:hAnsi="Arial" w:cs="Arial"/>
        </w:rPr>
      </w:pPr>
      <w:r>
        <w:rPr>
          <w:rFonts w:ascii="Arial" w:hAnsi="Arial" w:cs="Arial"/>
        </w:rPr>
        <w:t>Intelligence from the Integration and Better Care support team indicates that 20</w:t>
      </w:r>
      <w:r w:rsidRPr="00D453CF">
        <w:rPr>
          <w:rFonts w:ascii="Arial" w:hAnsi="Arial" w:cs="Arial"/>
        </w:rPr>
        <w:t>19/20 will remain as a transitional year</w:t>
      </w:r>
      <w:r>
        <w:rPr>
          <w:rFonts w:ascii="Arial" w:hAnsi="Arial" w:cs="Arial"/>
        </w:rPr>
        <w:t xml:space="preserve"> with</w:t>
      </w:r>
      <w:r w:rsidRPr="00D453CF">
        <w:rPr>
          <w:rFonts w:ascii="Arial" w:hAnsi="Arial" w:cs="Arial"/>
        </w:rPr>
        <w:t xml:space="preserve"> limited changes</w:t>
      </w:r>
      <w:r>
        <w:rPr>
          <w:rFonts w:ascii="Arial" w:hAnsi="Arial" w:cs="Arial"/>
        </w:rPr>
        <w:t>.</w:t>
      </w:r>
      <w:r w:rsidR="003313F9">
        <w:rPr>
          <w:rFonts w:ascii="Arial" w:hAnsi="Arial" w:cs="Arial"/>
        </w:rPr>
        <w:t xml:space="preserve"> </w:t>
      </w:r>
      <w:r w:rsidRPr="00D453CF">
        <w:rPr>
          <w:rFonts w:ascii="Arial" w:hAnsi="Arial" w:cs="Arial"/>
        </w:rPr>
        <w:t xml:space="preserve"> More significant changes will potentially be explored for the BCF starting from 2020/21.</w:t>
      </w:r>
    </w:p>
    <w:p w:rsidR="003313F9" w:rsidRDefault="003313F9" w:rsidP="003313F9">
      <w:pPr>
        <w:pStyle w:val="Header"/>
        <w:jc w:val="both"/>
        <w:rPr>
          <w:rFonts w:ascii="Arial" w:hAnsi="Arial" w:cs="Arial"/>
        </w:rPr>
      </w:pPr>
    </w:p>
    <w:p w:rsidR="00A52E0F" w:rsidRDefault="00A52E0F" w:rsidP="003313F9">
      <w:pPr>
        <w:pStyle w:val="Header"/>
        <w:jc w:val="both"/>
        <w:rPr>
          <w:rFonts w:ascii="Arial" w:hAnsi="Arial" w:cs="Arial"/>
        </w:rPr>
      </w:pPr>
      <w:r>
        <w:rPr>
          <w:rFonts w:ascii="Arial" w:hAnsi="Arial" w:cs="Arial"/>
        </w:rPr>
        <w:t>It is anticipated that there will be some clarity on this when</w:t>
      </w:r>
      <w:r w:rsidRPr="00D453CF">
        <w:rPr>
          <w:rFonts w:ascii="Arial" w:hAnsi="Arial" w:cs="Arial"/>
        </w:rPr>
        <w:t xml:space="preserve"> the social care Green Paper </w:t>
      </w:r>
      <w:r>
        <w:rPr>
          <w:rFonts w:ascii="Arial" w:hAnsi="Arial" w:cs="Arial"/>
        </w:rPr>
        <w:t xml:space="preserve">is published </w:t>
      </w:r>
      <w:r w:rsidRPr="00D453CF">
        <w:rPr>
          <w:rFonts w:ascii="Arial" w:hAnsi="Arial" w:cs="Arial"/>
        </w:rPr>
        <w:t>in the autumn around the same time as the NHS plan.</w:t>
      </w:r>
    </w:p>
    <w:p w:rsidR="003313F9" w:rsidRDefault="003313F9" w:rsidP="003313F9">
      <w:pPr>
        <w:pStyle w:val="Header"/>
        <w:jc w:val="both"/>
        <w:rPr>
          <w:rFonts w:ascii="Arial" w:hAnsi="Arial" w:cs="Arial"/>
        </w:rPr>
      </w:pPr>
      <w:bookmarkStart w:id="0" w:name="_GoBack"/>
      <w:bookmarkEnd w:id="0"/>
    </w:p>
    <w:p w:rsidR="002714CC" w:rsidRPr="003313F9" w:rsidRDefault="00A52E0F" w:rsidP="003313F9">
      <w:pPr>
        <w:pStyle w:val="Header"/>
        <w:jc w:val="both"/>
        <w:rPr>
          <w:rFonts w:ascii="Arial" w:hAnsi="Arial" w:cs="Arial"/>
        </w:rPr>
      </w:pPr>
      <w:r>
        <w:rPr>
          <w:rFonts w:ascii="Arial" w:hAnsi="Arial" w:cs="Arial"/>
        </w:rPr>
        <w:t>It is also anticipated that it will enable planning to be more clearly aligned with that of the Lancashire and South Cumbria Integrated Care System (ICS).</w:t>
      </w:r>
    </w:p>
    <w:sectPr w:rsidR="002714CC" w:rsidRPr="003313F9" w:rsidSect="00A52E0F">
      <w:footerReference w:type="default" r:id="rId5"/>
      <w:footerReference w:type="first" r:id="rId6"/>
      <w:pgSz w:w="11907" w:h="16840" w:code="9"/>
      <w:pgMar w:top="851" w:right="1077" w:bottom="851" w:left="1077" w:header="720" w:footer="306"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175" w:rsidRDefault="003313F9" w:rsidP="00007169">
    <w:pPr>
      <w:pStyle w:val="Footer"/>
      <w:tabs>
        <w:tab w:val="clear" w:pos="4153"/>
      </w:tabs>
      <w:ind w:right="-45"/>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500175">
      <w:tblPrEx>
        <w:tblCellMar>
          <w:top w:w="0" w:type="dxa"/>
          <w:bottom w:w="0" w:type="dxa"/>
        </w:tblCellMar>
      </w:tblPrEx>
      <w:tc>
        <w:tcPr>
          <w:tcW w:w="9243" w:type="dxa"/>
          <w:tcBorders>
            <w:top w:val="nil"/>
            <w:left w:val="nil"/>
            <w:bottom w:val="nil"/>
            <w:right w:val="nil"/>
          </w:tcBorders>
        </w:tcPr>
        <w:p w:rsidR="00500175" w:rsidRDefault="00A52E0F">
          <w:pPr>
            <w:pStyle w:val="Footer"/>
            <w:tabs>
              <w:tab w:val="clear" w:pos="4153"/>
            </w:tabs>
            <w:ind w:right="-45"/>
            <w:jc w:val="right"/>
          </w:pPr>
          <w:r>
            <w:rPr>
              <w:noProof/>
            </w:rPr>
            <w:drawing>
              <wp:inline distT="0" distB="0" distL="0" distR="0">
                <wp:extent cx="1257300" cy="624205"/>
                <wp:effectExtent l="0" t="0" r="0" b="4445"/>
                <wp:docPr id="1" name="Picture 1"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4205"/>
                        </a:xfrm>
                        <a:prstGeom prst="rect">
                          <a:avLst/>
                        </a:prstGeom>
                        <a:noFill/>
                        <a:ln>
                          <a:noFill/>
                        </a:ln>
                      </pic:spPr>
                    </pic:pic>
                  </a:graphicData>
                </a:graphic>
              </wp:inline>
            </w:drawing>
          </w:r>
          <w:r w:rsidR="003313F9">
            <w:t>.</w:t>
          </w:r>
        </w:p>
      </w:tc>
    </w:tr>
  </w:tbl>
  <w:p w:rsidR="00500175" w:rsidRDefault="003313F9">
    <w:pPr>
      <w:pStyle w:val="Footer"/>
      <w:tabs>
        <w:tab w:val="clear" w:pos="4153"/>
      </w:tabs>
      <w:ind w:right="-4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C5BC1"/>
    <w:multiLevelType w:val="hybridMultilevel"/>
    <w:tmpl w:val="7BB09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E4C0BE8"/>
    <w:multiLevelType w:val="hybridMultilevel"/>
    <w:tmpl w:val="99B8A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0F"/>
    <w:rsid w:val="002714CC"/>
    <w:rsid w:val="003313F9"/>
    <w:rsid w:val="00A52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F04B4-C4E3-45E1-9587-342ADD62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E0F"/>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2E0F"/>
    <w:rPr>
      <w:rFonts w:ascii="Universal" w:hAnsi="Universal"/>
    </w:rPr>
  </w:style>
  <w:style w:type="character" w:customStyle="1" w:styleId="HeaderChar">
    <w:name w:val="Header Char"/>
    <w:basedOn w:val="DefaultParagraphFont"/>
    <w:link w:val="Header"/>
    <w:rsid w:val="00A52E0F"/>
    <w:rPr>
      <w:rFonts w:ascii="Universal" w:eastAsia="Times New Roman" w:hAnsi="Universal" w:cs="Times New Roman"/>
      <w:sz w:val="24"/>
      <w:szCs w:val="20"/>
      <w:lang w:eastAsia="en-GB"/>
    </w:rPr>
  </w:style>
  <w:style w:type="paragraph" w:styleId="Footer">
    <w:name w:val="footer"/>
    <w:basedOn w:val="Normal"/>
    <w:link w:val="FooterChar"/>
    <w:uiPriority w:val="99"/>
    <w:rsid w:val="00A52E0F"/>
    <w:pPr>
      <w:tabs>
        <w:tab w:val="center" w:pos="4153"/>
        <w:tab w:val="right" w:pos="8306"/>
      </w:tabs>
    </w:pPr>
  </w:style>
  <w:style w:type="character" w:customStyle="1" w:styleId="FooterChar">
    <w:name w:val="Footer Char"/>
    <w:basedOn w:val="DefaultParagraphFont"/>
    <w:link w:val="Footer"/>
    <w:uiPriority w:val="99"/>
    <w:rsid w:val="00A52E0F"/>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Gorton, Sam</dc:creator>
  <cp:keywords/>
  <dc:description/>
  <cp:lastModifiedBy>Gorton, Sam</cp:lastModifiedBy>
  <cp:revision>2</cp:revision>
  <dcterms:created xsi:type="dcterms:W3CDTF">2018-07-06T09:41:00Z</dcterms:created>
  <dcterms:modified xsi:type="dcterms:W3CDTF">2018-07-06T09:51:00Z</dcterms:modified>
</cp:coreProperties>
</file>